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DDF14" w14:textId="77777777" w:rsidR="00CF5C6C" w:rsidRDefault="00CF5C6C" w:rsidP="009D74DC">
      <w:pPr>
        <w:spacing w:after="0" w:line="240" w:lineRule="auto"/>
        <w:ind w:left="187" w:right="187"/>
        <w:jc w:val="center"/>
        <w:rPr>
          <w:rFonts w:cstheme="minorHAnsi"/>
        </w:rPr>
      </w:pPr>
    </w:p>
    <w:p w14:paraId="1C6DA2AD" w14:textId="77777777" w:rsidR="00A66D7C" w:rsidRDefault="00A66D7C" w:rsidP="00B9129A">
      <w:pPr>
        <w:spacing w:after="0" w:line="240" w:lineRule="auto"/>
        <w:ind w:left="187" w:right="187"/>
        <w:rPr>
          <w:rFonts w:cstheme="minorHAnsi"/>
          <w:sz w:val="24"/>
          <w:szCs w:val="24"/>
        </w:rPr>
      </w:pPr>
    </w:p>
    <w:p w14:paraId="0BC4F032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</w:pPr>
    </w:p>
    <w:p w14:paraId="1D3F5FFE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eastAsia="New" w:hAnsi="Calibri" w:cs="Calibri"/>
          <w:color w:val="1D1D1D"/>
        </w:rPr>
      </w:pPr>
      <w:r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  <w:t>Request for Participation in Industrial Property Acquisition</w:t>
      </w:r>
    </w:p>
    <w:p w14:paraId="23526519" w14:textId="368D4FC6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</w:rPr>
        <w:t>March 1</w:t>
      </w:r>
      <w:r w:rsidR="00284A94">
        <w:rPr>
          <w:rFonts w:ascii="Calibri" w:eastAsia="New" w:hAnsi="Calibri" w:cs="Calibri"/>
          <w:color w:val="1D1D1D"/>
        </w:rPr>
        <w:t>2</w:t>
      </w:r>
      <w:r>
        <w:rPr>
          <w:rFonts w:ascii="Calibri" w:eastAsia="New" w:hAnsi="Calibri" w:cs="Calibri"/>
          <w:color w:val="1D1D1D"/>
        </w:rPr>
        <w:t>, 2026</w:t>
      </w:r>
    </w:p>
    <w:p w14:paraId="2AFD310C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4E4F5F58" w14:textId="2F84375C" w:rsidR="00CD0B56" w:rsidRDefault="00284A94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  <w:shd w:val="clear" w:color="auto" w:fill="FFFFFF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Mayor Livingston and County Commission</w:t>
      </w:r>
    </w:p>
    <w:p w14:paraId="56097F78" w14:textId="4924AF4A" w:rsidR="00CD0B56" w:rsidRDefault="00284A94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  <w:shd w:val="clear" w:color="auto" w:fill="FFFFFF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Haywood Co. Courthouse</w:t>
      </w:r>
    </w:p>
    <w:p w14:paraId="456C09E4" w14:textId="058333C6" w:rsidR="00CD0B56" w:rsidRDefault="00284A94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  <w:shd w:val="clear" w:color="auto" w:fill="FFFFFF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 xml:space="preserve">1 North Washington </w:t>
      </w:r>
    </w:p>
    <w:p w14:paraId="5CC44DDD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  <w:shd w:val="clear" w:color="auto" w:fill="FFFFFF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Brownsville, TN 38012</w:t>
      </w:r>
    </w:p>
    <w:p w14:paraId="71EBEF8C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0351CD04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Brownsville Haywood County Economic Development Corporation</w:t>
      </w:r>
    </w:p>
    <w:p w14:paraId="7432CF5E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  <w:shd w:val="clear" w:color="auto" w:fill="FFFFFF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121 W Main St.</w:t>
      </w:r>
    </w:p>
    <w:p w14:paraId="5C4A3CD7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  <w:shd w:val="clear" w:color="auto" w:fill="FFFFFF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Brownsville, TN 38012</w:t>
      </w:r>
    </w:p>
    <w:p w14:paraId="270CE00B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33FBDAF7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 xml:space="preserve">Subject: Consideration for Participation in the Acquisition of Approximately 120 Acres from </w:t>
      </w:r>
      <w:proofErr w:type="spellStart"/>
      <w:r>
        <w:rPr>
          <w:rFonts w:ascii="Calibri" w:eastAsia="New" w:hAnsi="Calibri" w:cs="Calibri"/>
          <w:color w:val="1D1D1D"/>
          <w:shd w:val="clear" w:color="auto" w:fill="FFFFFF"/>
        </w:rPr>
        <w:t>Enchem</w:t>
      </w:r>
      <w:proofErr w:type="spellEnd"/>
      <w:r>
        <w:rPr>
          <w:rFonts w:ascii="Calibri" w:eastAsia="New" w:hAnsi="Calibri" w:cs="Calibri"/>
          <w:color w:val="1D1D1D"/>
          <w:shd w:val="clear" w:color="auto" w:fill="FFFFFF"/>
        </w:rPr>
        <w:t xml:space="preserve"> America</w:t>
      </w:r>
    </w:p>
    <w:p w14:paraId="600C0ED2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49A16701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  <w:t>Background</w:t>
      </w:r>
    </w:p>
    <w:p w14:paraId="4FF96D99" w14:textId="3E00946A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 xml:space="preserve">The Brownsville Haywood County Economic Development Corporation (BHCEDC) is currently in negotiations to purchase approximately 120 acres of property owned by </w:t>
      </w:r>
      <w:proofErr w:type="spellStart"/>
      <w:r>
        <w:rPr>
          <w:rFonts w:ascii="Calibri" w:eastAsia="New" w:hAnsi="Calibri" w:cs="Calibri"/>
          <w:color w:val="1D1D1D"/>
          <w:shd w:val="clear" w:color="auto" w:fill="FFFFFF"/>
        </w:rPr>
        <w:t>Enchem</w:t>
      </w:r>
      <w:proofErr w:type="spellEnd"/>
      <w:r>
        <w:rPr>
          <w:rFonts w:ascii="Calibri" w:eastAsia="New" w:hAnsi="Calibri" w:cs="Calibri"/>
          <w:color w:val="1D1D1D"/>
          <w:shd w:val="clear" w:color="auto" w:fill="FFFFFF"/>
        </w:rPr>
        <w:t xml:space="preserve"> America, located within the Brownsville–Haywood County I-40 Advantage Park. This acquisition is intended to expand the inventory of shovel-ready industrial development sites available for business recruitment, manufacturing expansion, and long-term economic growth in the community.</w:t>
      </w:r>
    </w:p>
    <w:p w14:paraId="2EEE776D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0D685935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The property is strategically positioned to support future industrial development and will help ensure that Brownsville and Haywood County remain competitive in attracting new investment and job creation.</w:t>
      </w:r>
    </w:p>
    <w:p w14:paraId="7732FA1A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79B1ABF5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  <w:t>Purpose of Request</w:t>
      </w:r>
    </w:p>
    <w:p w14:paraId="301EC13A" w14:textId="5DF1C52E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The BHCEDC</w:t>
      </w:r>
      <w:r w:rsidR="00096A7D" w:rsidRPr="00096A7D">
        <w:rPr>
          <w:rFonts w:ascii="Calibri" w:eastAsia="New" w:hAnsi="Calibri" w:cs="Calibri"/>
          <w:color w:val="1D1D1D"/>
          <w:shd w:val="clear" w:color="auto" w:fill="FFFFFF"/>
        </w:rPr>
        <w:t xml:space="preserve"> felt it was appropriate to provide the County with the option to repurchase the property.</w:t>
      </w:r>
    </w:p>
    <w:p w14:paraId="2179C48E" w14:textId="77777777" w:rsidR="001E70A2" w:rsidRDefault="001E70A2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  <w:shd w:val="clear" w:color="auto" w:fill="FFFFFF"/>
        </w:rPr>
      </w:pPr>
    </w:p>
    <w:p w14:paraId="26E7A537" w14:textId="568E059A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Participation could include:</w:t>
      </w:r>
    </w:p>
    <w:p w14:paraId="1FB9EBF9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• Purchasing a proportional ownership interest in the property</w:t>
      </w:r>
    </w:p>
    <w:p w14:paraId="3A9E83C1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• Providing financial participation toward acquisition costs</w:t>
      </w:r>
    </w:p>
    <w:p w14:paraId="6E3143D9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• Entering into a joint ownership agreement with BHCEDC</w:t>
      </w:r>
    </w:p>
    <w:p w14:paraId="7304D9A2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This partnership would allow all local stakeholders to share in both the responsibility and long-term benefits of this strategic industrial development asset.</w:t>
      </w:r>
    </w:p>
    <w:p w14:paraId="1C1E1B28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4A049862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</w:pPr>
    </w:p>
    <w:p w14:paraId="2D56D30D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</w:pPr>
    </w:p>
    <w:p w14:paraId="76EB5F54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</w:pPr>
    </w:p>
    <w:p w14:paraId="3EB50FE7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</w:pPr>
    </w:p>
    <w:p w14:paraId="70F0A974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</w:pPr>
    </w:p>
    <w:p w14:paraId="432FEA75" w14:textId="0E97CF19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  <w:t>Proposed Next Steps</w:t>
      </w:r>
    </w:p>
    <w:p w14:paraId="204266AB" w14:textId="3A23EA3F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 xml:space="preserve">Should </w:t>
      </w:r>
      <w:r w:rsidR="00284A94">
        <w:rPr>
          <w:rFonts w:ascii="Calibri" w:eastAsia="New" w:hAnsi="Calibri" w:cs="Calibri"/>
          <w:color w:val="1D1D1D"/>
          <w:shd w:val="clear" w:color="auto" w:fill="FFFFFF"/>
        </w:rPr>
        <w:t>Haywood County</w:t>
      </w:r>
      <w:r>
        <w:rPr>
          <w:rFonts w:ascii="Calibri" w:eastAsia="New" w:hAnsi="Calibri" w:cs="Calibri"/>
          <w:color w:val="1D1D1D"/>
          <w:shd w:val="clear" w:color="auto" w:fill="FFFFFF"/>
        </w:rPr>
        <w:t xml:space="preserve"> have interest in participating, BHCEDC proposes the following steps:</w:t>
      </w:r>
    </w:p>
    <w:p w14:paraId="2E6971A2" w14:textId="77777777" w:rsidR="00CD0B56" w:rsidRDefault="00CD0B56" w:rsidP="00CD0B56">
      <w:pPr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Calibri" w:eastAsia="New" w:hAnsi="Calibri" w:cs="Calibri"/>
          <w:sz w:val="24"/>
          <w:szCs w:val="24"/>
        </w:rPr>
      </w:pPr>
      <w:r>
        <w:rPr>
          <w:rFonts w:ascii="Calibri" w:eastAsia="New" w:hAnsi="Calibri" w:cs="Calibri"/>
          <w:color w:val="1D1D1D"/>
          <w:sz w:val="24"/>
          <w:szCs w:val="24"/>
          <w:shd w:val="clear" w:color="auto" w:fill="FFFFFF"/>
        </w:rPr>
        <w:t>Discussion of participation structure and ownership percentages</w:t>
      </w:r>
    </w:p>
    <w:p w14:paraId="1E392095" w14:textId="77777777" w:rsidR="00CD0B56" w:rsidRDefault="00CD0B56" w:rsidP="00CD0B56">
      <w:pPr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Calibri" w:eastAsia="New" w:hAnsi="Calibri" w:cs="Calibri"/>
          <w:sz w:val="24"/>
          <w:szCs w:val="24"/>
        </w:rPr>
      </w:pPr>
      <w:r>
        <w:rPr>
          <w:rFonts w:ascii="Calibri" w:eastAsia="New" w:hAnsi="Calibri" w:cs="Calibri"/>
          <w:color w:val="1D1D1D"/>
          <w:sz w:val="24"/>
          <w:szCs w:val="24"/>
          <w:shd w:val="clear" w:color="auto" w:fill="FFFFFF"/>
        </w:rPr>
        <w:t>Review of acquisition cost and financial participation options</w:t>
      </w:r>
    </w:p>
    <w:p w14:paraId="10A3A79C" w14:textId="77777777" w:rsidR="00CD0B56" w:rsidRDefault="00CD0B56" w:rsidP="00CD0B56">
      <w:pPr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Calibri" w:eastAsia="New" w:hAnsi="Calibri" w:cs="Calibri"/>
          <w:sz w:val="24"/>
          <w:szCs w:val="24"/>
        </w:rPr>
      </w:pPr>
      <w:r>
        <w:rPr>
          <w:rFonts w:ascii="Calibri" w:eastAsia="New" w:hAnsi="Calibri" w:cs="Calibri"/>
          <w:color w:val="1D1D1D"/>
          <w:sz w:val="24"/>
          <w:szCs w:val="24"/>
          <w:shd w:val="clear" w:color="auto" w:fill="FFFFFF"/>
        </w:rPr>
        <w:t>Development of an intergovernmental ownership or participation agreement</w:t>
      </w:r>
    </w:p>
    <w:p w14:paraId="7161B6FA" w14:textId="77777777" w:rsidR="00CD0B56" w:rsidRDefault="00CD0B56" w:rsidP="00CD0B56">
      <w:pPr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Calibri" w:eastAsia="New" w:hAnsi="Calibri" w:cs="Calibri"/>
          <w:sz w:val="24"/>
          <w:szCs w:val="24"/>
        </w:rPr>
      </w:pPr>
      <w:r>
        <w:rPr>
          <w:rFonts w:ascii="Calibri" w:eastAsia="New" w:hAnsi="Calibri" w:cs="Calibri"/>
          <w:color w:val="1D1D1D"/>
          <w:sz w:val="24"/>
          <w:szCs w:val="24"/>
          <w:shd w:val="clear" w:color="auto" w:fill="FFFFFF"/>
        </w:rPr>
        <w:t>Coordination with the Haywood County Industrial Development Board if financing mechanisms are considered</w:t>
      </w:r>
    </w:p>
    <w:p w14:paraId="3E9B19FB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</w:pPr>
    </w:p>
    <w:p w14:paraId="4CB59493" w14:textId="374A75EF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TimesNewRomanPS-BoldMT" w:hAnsi="Calibri" w:cs="Calibri"/>
          <w:b/>
          <w:bCs/>
          <w:color w:val="1D1D1D"/>
          <w:shd w:val="clear" w:color="auto" w:fill="FFFFFF"/>
        </w:rPr>
        <w:t>Request for Consideration</w:t>
      </w:r>
    </w:p>
    <w:p w14:paraId="6D1199B3" w14:textId="739827EC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 xml:space="preserve">The Brownsville Haywood County Economic Development Corporation respectfully requests that the </w:t>
      </w:r>
      <w:r w:rsidR="00284A94">
        <w:rPr>
          <w:rFonts w:ascii="Calibri" w:eastAsia="New" w:hAnsi="Calibri" w:cs="Calibri"/>
          <w:color w:val="1D1D1D"/>
          <w:shd w:val="clear" w:color="auto" w:fill="FFFFFF"/>
        </w:rPr>
        <w:t xml:space="preserve">Haywood County Commission </w:t>
      </w:r>
      <w:r>
        <w:rPr>
          <w:rFonts w:ascii="Calibri" w:eastAsia="New" w:hAnsi="Calibri" w:cs="Calibri"/>
          <w:color w:val="1D1D1D"/>
          <w:shd w:val="clear" w:color="auto" w:fill="FFFFFF"/>
        </w:rPr>
        <w:t>review this opportunity and indicate whether they would like to explore participation in this acquisition.</w:t>
      </w:r>
    </w:p>
    <w:p w14:paraId="6EDEBAF3" w14:textId="77777777" w:rsidR="00D57FAE" w:rsidRDefault="00D57FAE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  <w:shd w:val="clear" w:color="auto" w:fill="FFFFFF"/>
        </w:rPr>
      </w:pPr>
    </w:p>
    <w:p w14:paraId="5742611C" w14:textId="356E988A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BHCEDC would welcome the opportunity to present additional details regarding:</w:t>
      </w:r>
    </w:p>
    <w:p w14:paraId="28945D65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• Purchase price and terms</w:t>
      </w:r>
    </w:p>
    <w:p w14:paraId="5ECFA695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• Development strategy</w:t>
      </w:r>
    </w:p>
    <w:p w14:paraId="5F36997D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• Ownership structure options</w:t>
      </w:r>
    </w:p>
    <w:p w14:paraId="4CAB37D0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• Long-term economic development impact</w:t>
      </w:r>
    </w:p>
    <w:p w14:paraId="5F88F383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808080"/>
        </w:rPr>
      </w:pPr>
    </w:p>
    <w:p w14:paraId="23F2D756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363BC38D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Respectfully submitted,</w:t>
      </w:r>
    </w:p>
    <w:p w14:paraId="2DC9D2BD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32A66052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33CA0474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</w:rPr>
        <w:t>Kathy Watts</w:t>
      </w:r>
    </w:p>
    <w:p w14:paraId="6819A7BC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</w:rPr>
        <w:t>Vice-Chairman</w:t>
      </w:r>
    </w:p>
    <w:p w14:paraId="3B44D015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  <w:r>
        <w:rPr>
          <w:rFonts w:ascii="Calibri" w:eastAsia="New" w:hAnsi="Calibri" w:cs="Calibri"/>
          <w:color w:val="1D1D1D"/>
          <w:shd w:val="clear" w:color="auto" w:fill="FFFFFF"/>
        </w:rPr>
        <w:t>Brownsville Haywood County Economic Development Corporation</w:t>
      </w:r>
    </w:p>
    <w:p w14:paraId="59EF87F9" w14:textId="77777777" w:rsidR="00CD0B56" w:rsidRDefault="00CD0B56" w:rsidP="00CD0B5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eastAsia="New" w:hAnsi="Calibri" w:cs="Calibri"/>
          <w:color w:val="1D1D1D"/>
        </w:rPr>
      </w:pPr>
    </w:p>
    <w:p w14:paraId="57A05084" w14:textId="77777777" w:rsidR="00A66D7C" w:rsidRDefault="00A66D7C" w:rsidP="00CD0B56">
      <w:pPr>
        <w:spacing w:after="0" w:line="240" w:lineRule="auto"/>
        <w:ind w:left="187" w:right="187"/>
        <w:jc w:val="both"/>
        <w:rPr>
          <w:rFonts w:cstheme="minorHAnsi"/>
          <w:sz w:val="24"/>
          <w:szCs w:val="24"/>
        </w:rPr>
      </w:pPr>
    </w:p>
    <w:p w14:paraId="0E0468FE" w14:textId="4A58BF23" w:rsidR="002B7ACE" w:rsidRDefault="002B7ACE" w:rsidP="00B9129A">
      <w:pPr>
        <w:spacing w:after="0" w:line="240" w:lineRule="auto"/>
        <w:ind w:left="187" w:right="187"/>
        <w:rPr>
          <w:rFonts w:cstheme="minorHAnsi"/>
          <w:sz w:val="24"/>
          <w:szCs w:val="24"/>
        </w:rPr>
      </w:pPr>
    </w:p>
    <w:p w14:paraId="06E17DA8" w14:textId="77777777" w:rsidR="00A517E1" w:rsidRDefault="00A517E1" w:rsidP="00B9129A">
      <w:pPr>
        <w:spacing w:after="0" w:line="240" w:lineRule="auto"/>
        <w:ind w:left="187" w:right="187"/>
        <w:rPr>
          <w:rFonts w:cstheme="minorHAnsi"/>
          <w:sz w:val="24"/>
          <w:szCs w:val="24"/>
        </w:rPr>
      </w:pPr>
    </w:p>
    <w:p w14:paraId="3B7F4600" w14:textId="77777777" w:rsidR="00A517E1" w:rsidRPr="0074743A" w:rsidRDefault="00A517E1" w:rsidP="00B9129A">
      <w:pPr>
        <w:spacing w:after="0" w:line="240" w:lineRule="auto"/>
        <w:ind w:left="187" w:right="187"/>
        <w:rPr>
          <w:rFonts w:cstheme="minorHAnsi"/>
          <w:sz w:val="24"/>
          <w:szCs w:val="24"/>
        </w:rPr>
      </w:pPr>
    </w:p>
    <w:sectPr w:rsidR="00A517E1" w:rsidRPr="0074743A" w:rsidSect="00906246">
      <w:headerReference w:type="default" r:id="rId7"/>
      <w:footerReference w:type="default" r:id="rId8"/>
      <w:pgSz w:w="12240" w:h="15840"/>
      <w:pgMar w:top="540" w:right="540" w:bottom="54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82228" w14:textId="77777777" w:rsidR="00B568DE" w:rsidRDefault="00B568DE" w:rsidP="0008759F">
      <w:pPr>
        <w:spacing w:after="0" w:line="240" w:lineRule="auto"/>
      </w:pPr>
      <w:r>
        <w:separator/>
      </w:r>
    </w:p>
  </w:endnote>
  <w:endnote w:type="continuationSeparator" w:id="0">
    <w:p w14:paraId="7C14CF67" w14:textId="77777777" w:rsidR="00B568DE" w:rsidRDefault="00B568DE" w:rsidP="00087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FBEA69-43AB-44B9-A2D7-44ADE77B8783}"/>
    <w:embedBold r:id="rId2" w:fontKey="{92D79B68-E3D9-4D88-A30A-74E924041D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Segoe Print"/>
    <w:charset w:val="00"/>
    <w:family w:val="auto"/>
    <w:pitch w:val="default"/>
  </w:font>
  <w:font w:name="New">
    <w:altName w:val="Courier New"/>
    <w:charset w:val="00"/>
    <w:family w:val="auto"/>
    <w:pitch w:val="default"/>
  </w:font>
  <w:font w:name="Alexandria ExtraLight">
    <w:altName w:val="Arial"/>
    <w:charset w:val="00"/>
    <w:family w:val="auto"/>
    <w:pitch w:val="variable"/>
    <w:sig w:usb0="A00020FF" w:usb1="C000207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7A327" w14:textId="72B655E9" w:rsidR="0018647E" w:rsidRDefault="0018647E" w:rsidP="00EB1857">
    <w:pPr>
      <w:pStyle w:val="Footer"/>
      <w:tabs>
        <w:tab w:val="center" w:pos="5580"/>
        <w:tab w:val="right" w:pos="10980"/>
      </w:tabs>
      <w:ind w:left="180" w:right="180"/>
      <w:rPr>
        <w:rFonts w:ascii="Alexandria ExtraLight" w:hAnsi="Alexandria ExtraLight" w:cs="Alexandria ExtraLight"/>
        <w:sz w:val="18"/>
        <w:szCs w:val="18"/>
      </w:rPr>
    </w:pPr>
    <w:r w:rsidRPr="005E607E">
      <w:rPr>
        <w:noProof/>
      </w:rPr>
      <w:drawing>
        <wp:anchor distT="0" distB="0" distL="114300" distR="114300" simplePos="0" relativeHeight="251658240" behindDoc="1" locked="0" layoutInCell="1" allowOverlap="1" wp14:anchorId="7D2571B7" wp14:editId="5DD7BBA4">
          <wp:simplePos x="0" y="0"/>
          <wp:positionH relativeFrom="margin">
            <wp:posOffset>114300</wp:posOffset>
          </wp:positionH>
          <wp:positionV relativeFrom="paragraph">
            <wp:posOffset>8255</wp:posOffset>
          </wp:positionV>
          <wp:extent cx="6858000" cy="38100"/>
          <wp:effectExtent l="0" t="0" r="0" b="0"/>
          <wp:wrapNone/>
          <wp:docPr id="17433342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8208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0554D7D" w14:textId="30C7B860" w:rsidR="005B53D4" w:rsidRPr="00496578" w:rsidRDefault="0018647E" w:rsidP="00EB1857">
    <w:pPr>
      <w:pStyle w:val="Footer"/>
      <w:tabs>
        <w:tab w:val="center" w:pos="5580"/>
        <w:tab w:val="right" w:pos="10980"/>
      </w:tabs>
      <w:ind w:left="180" w:right="180"/>
      <w:jc w:val="center"/>
      <w:rPr>
        <w:rFonts w:cstheme="minorHAnsi"/>
      </w:rPr>
    </w:pPr>
    <w:r w:rsidRPr="00496578">
      <w:rPr>
        <w:rFonts w:cstheme="minorHAnsi"/>
      </w:rPr>
      <w:t>121 W. Main Street, P.O. BOX 736, Brownsville, TN 38012</w:t>
    </w:r>
    <w:r w:rsidR="00496578" w:rsidRPr="00496578">
      <w:rPr>
        <w:rFonts w:cstheme="minorHAnsi"/>
      </w:rPr>
      <w:t xml:space="preserve"> | (731) 772-2193 | www.bhcedc.com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40B26" w14:textId="77777777" w:rsidR="00B568DE" w:rsidRDefault="00B568DE" w:rsidP="0008759F">
      <w:pPr>
        <w:spacing w:after="0" w:line="240" w:lineRule="auto"/>
      </w:pPr>
      <w:r>
        <w:separator/>
      </w:r>
    </w:p>
  </w:footnote>
  <w:footnote w:type="continuationSeparator" w:id="0">
    <w:p w14:paraId="27E9A168" w14:textId="77777777" w:rsidR="00B568DE" w:rsidRDefault="00B568DE" w:rsidP="00087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F9333" w14:textId="65D849DF" w:rsidR="0008759F" w:rsidRDefault="003E651C" w:rsidP="00013FF3">
    <w:pPr>
      <w:pStyle w:val="Header"/>
      <w:jc w:val="center"/>
    </w:pPr>
    <w:r w:rsidRPr="003E651C">
      <w:rPr>
        <w:noProof/>
      </w:rPr>
      <w:drawing>
        <wp:inline distT="0" distB="0" distL="0" distR="0" wp14:anchorId="3596CFB2" wp14:editId="35B08BD4">
          <wp:extent cx="6858000" cy="1131903"/>
          <wp:effectExtent l="0" t="0" r="0" b="0"/>
          <wp:docPr id="4939429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79257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31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069BC7B"/>
    <w:multiLevelType w:val="multilevel"/>
    <w:tmpl w:val="A069BC7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118"/>
        </w:tabs>
        <w:ind w:left="6480" w:hanging="360"/>
      </w:pPr>
      <w:rPr>
        <w:sz w:val="24"/>
        <w:szCs w:val="24"/>
      </w:rPr>
    </w:lvl>
  </w:abstractNum>
  <w:num w:numId="1" w16cid:durableId="2080517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833"/>
    <w:rsid w:val="00013FF3"/>
    <w:rsid w:val="00021736"/>
    <w:rsid w:val="0006332A"/>
    <w:rsid w:val="000744AE"/>
    <w:rsid w:val="0008759F"/>
    <w:rsid w:val="00096A7D"/>
    <w:rsid w:val="000F132E"/>
    <w:rsid w:val="00107B39"/>
    <w:rsid w:val="00120485"/>
    <w:rsid w:val="00125C57"/>
    <w:rsid w:val="00146236"/>
    <w:rsid w:val="0018647E"/>
    <w:rsid w:val="001E3ECB"/>
    <w:rsid w:val="001E70A2"/>
    <w:rsid w:val="00284A94"/>
    <w:rsid w:val="00292849"/>
    <w:rsid w:val="002B40D6"/>
    <w:rsid w:val="002B7ACE"/>
    <w:rsid w:val="002D6705"/>
    <w:rsid w:val="003079F1"/>
    <w:rsid w:val="00313202"/>
    <w:rsid w:val="003579DD"/>
    <w:rsid w:val="003756E5"/>
    <w:rsid w:val="003E651C"/>
    <w:rsid w:val="003F231F"/>
    <w:rsid w:val="004137D1"/>
    <w:rsid w:val="00457248"/>
    <w:rsid w:val="00496578"/>
    <w:rsid w:val="004F2A45"/>
    <w:rsid w:val="005066C9"/>
    <w:rsid w:val="0051449C"/>
    <w:rsid w:val="0058256B"/>
    <w:rsid w:val="00593022"/>
    <w:rsid w:val="005B53D4"/>
    <w:rsid w:val="005B6FB9"/>
    <w:rsid w:val="005E607E"/>
    <w:rsid w:val="00601917"/>
    <w:rsid w:val="00642FC2"/>
    <w:rsid w:val="006963A6"/>
    <w:rsid w:val="006A6EE3"/>
    <w:rsid w:val="006B32B5"/>
    <w:rsid w:val="006C0D93"/>
    <w:rsid w:val="00722238"/>
    <w:rsid w:val="00725129"/>
    <w:rsid w:val="0074743A"/>
    <w:rsid w:val="00762858"/>
    <w:rsid w:val="007A4F3F"/>
    <w:rsid w:val="007B1DEF"/>
    <w:rsid w:val="007B4706"/>
    <w:rsid w:val="007B6790"/>
    <w:rsid w:val="007E0420"/>
    <w:rsid w:val="007E5EF4"/>
    <w:rsid w:val="00802CDA"/>
    <w:rsid w:val="008045CD"/>
    <w:rsid w:val="008079CB"/>
    <w:rsid w:val="008112E4"/>
    <w:rsid w:val="00821AF0"/>
    <w:rsid w:val="0082653A"/>
    <w:rsid w:val="008726BC"/>
    <w:rsid w:val="00874A36"/>
    <w:rsid w:val="008D544A"/>
    <w:rsid w:val="008E4833"/>
    <w:rsid w:val="008F651A"/>
    <w:rsid w:val="00906246"/>
    <w:rsid w:val="0091682B"/>
    <w:rsid w:val="00960A6F"/>
    <w:rsid w:val="00964D5A"/>
    <w:rsid w:val="009660BA"/>
    <w:rsid w:val="00986A62"/>
    <w:rsid w:val="009A3CC5"/>
    <w:rsid w:val="009B3834"/>
    <w:rsid w:val="009D4EB0"/>
    <w:rsid w:val="009D74DC"/>
    <w:rsid w:val="00A306E7"/>
    <w:rsid w:val="00A517E1"/>
    <w:rsid w:val="00A55BD9"/>
    <w:rsid w:val="00A66D7C"/>
    <w:rsid w:val="00A741AB"/>
    <w:rsid w:val="00A914BA"/>
    <w:rsid w:val="00AA1EBC"/>
    <w:rsid w:val="00AA2BA3"/>
    <w:rsid w:val="00B30828"/>
    <w:rsid w:val="00B568DE"/>
    <w:rsid w:val="00B67C39"/>
    <w:rsid w:val="00B80B72"/>
    <w:rsid w:val="00B9129A"/>
    <w:rsid w:val="00BC6389"/>
    <w:rsid w:val="00BD3EDB"/>
    <w:rsid w:val="00BE3CAD"/>
    <w:rsid w:val="00BE7F4D"/>
    <w:rsid w:val="00C377B0"/>
    <w:rsid w:val="00CC2897"/>
    <w:rsid w:val="00CD0B56"/>
    <w:rsid w:val="00CD117D"/>
    <w:rsid w:val="00CF5C6C"/>
    <w:rsid w:val="00D14656"/>
    <w:rsid w:val="00D33EC8"/>
    <w:rsid w:val="00D57FAE"/>
    <w:rsid w:val="00D705F5"/>
    <w:rsid w:val="00D72FCA"/>
    <w:rsid w:val="00D9195B"/>
    <w:rsid w:val="00DB57CA"/>
    <w:rsid w:val="00DE6B3A"/>
    <w:rsid w:val="00DF71A4"/>
    <w:rsid w:val="00E10E00"/>
    <w:rsid w:val="00E11167"/>
    <w:rsid w:val="00E12CC5"/>
    <w:rsid w:val="00E24B4D"/>
    <w:rsid w:val="00E3778E"/>
    <w:rsid w:val="00E52CC8"/>
    <w:rsid w:val="00E626AD"/>
    <w:rsid w:val="00EB1857"/>
    <w:rsid w:val="00EF4132"/>
    <w:rsid w:val="00F07F4A"/>
    <w:rsid w:val="00F11862"/>
    <w:rsid w:val="00F46DF3"/>
    <w:rsid w:val="00F7495A"/>
    <w:rsid w:val="00F87556"/>
    <w:rsid w:val="00F95B24"/>
    <w:rsid w:val="00FA32E6"/>
    <w:rsid w:val="00FA6469"/>
    <w:rsid w:val="00FD6A6A"/>
    <w:rsid w:val="00FD7F47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CAD2A"/>
  <w15:chartTrackingRefBased/>
  <w15:docId w15:val="{B66F0A27-4D2E-46ED-B1A3-53D9AFF6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59F"/>
  </w:style>
  <w:style w:type="paragraph" w:styleId="Footer">
    <w:name w:val="footer"/>
    <w:basedOn w:val="Normal"/>
    <w:link w:val="FooterChar"/>
    <w:uiPriority w:val="99"/>
    <w:unhideWhenUsed/>
    <w:rsid w:val="000875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59F"/>
  </w:style>
  <w:style w:type="paragraph" w:styleId="BalloonText">
    <w:name w:val="Balloon Text"/>
    <w:basedOn w:val="Normal"/>
    <w:link w:val="BalloonTextChar"/>
    <w:uiPriority w:val="99"/>
    <w:semiHidden/>
    <w:unhideWhenUsed/>
    <w:rsid w:val="00CC2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897"/>
    <w:rPr>
      <w:rFonts w:ascii="Segoe UI" w:hAnsi="Segoe UI" w:cs="Segoe UI"/>
      <w:sz w:val="18"/>
      <w:szCs w:val="18"/>
    </w:rPr>
  </w:style>
  <w:style w:type="paragraph" w:styleId="NormalWeb">
    <w:name w:val="Normal (Web)"/>
    <w:rsid w:val="00CD0B56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335</Words>
  <Characters>2207</Characters>
  <Application>Microsoft Office Word</Application>
  <DocSecurity>0</DocSecurity>
  <Lines>76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DeCaro</dc:creator>
  <cp:keywords/>
  <dc:description/>
  <cp:lastModifiedBy>Admin</cp:lastModifiedBy>
  <cp:revision>6</cp:revision>
  <dcterms:created xsi:type="dcterms:W3CDTF">2026-03-12T13:52:00Z</dcterms:created>
  <dcterms:modified xsi:type="dcterms:W3CDTF">2026-03-12T18:45:00Z</dcterms:modified>
</cp:coreProperties>
</file>