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920B" w14:textId="5CA2F989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 xml:space="preserve">To create a public safety fund for the district </w:t>
      </w:r>
      <w:r>
        <w:rPr>
          <w:color w:val="222222"/>
        </w:rPr>
        <w:t>attorney’s</w:t>
      </w:r>
      <w:r>
        <w:rPr>
          <w:color w:val="222222"/>
        </w:rPr>
        <w:t xml:space="preserve"> general conference. It is like</w:t>
      </w:r>
    </w:p>
    <w:p w14:paraId="0B94833F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the one the public defenders currently have (T.C.A. 40-14-210).</w:t>
      </w:r>
    </w:p>
    <w:p w14:paraId="5B7BB3CB" w14:textId="3FC47C7A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 xml:space="preserve">• This funding mechanism enhances the capacity of the district </w:t>
      </w:r>
      <w:r>
        <w:rPr>
          <w:color w:val="222222"/>
        </w:rPr>
        <w:t>attorney’s</w:t>
      </w:r>
      <w:r>
        <w:rPr>
          <w:color w:val="222222"/>
        </w:rPr>
        <w:t xml:space="preserve"> offices to</w:t>
      </w:r>
    </w:p>
    <w:p w14:paraId="33AD5D85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serve their communities.</w:t>
      </w:r>
    </w:p>
    <w:p w14:paraId="1CE98AF0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• The consistent charge of $12.50 across the board ensures a uniform funding source</w:t>
      </w:r>
    </w:p>
    <w:p w14:paraId="4683E7F0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that aids in critical government functions.</w:t>
      </w:r>
    </w:p>
    <w:p w14:paraId="4D65B85B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• This creates a predictable revenue stream that is not reliant on the legislature or county governments that</w:t>
      </w:r>
    </w:p>
    <w:p w14:paraId="525E508D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doesn’t require new appropriations or tax increases. This is a cost-neutral way to</w:t>
      </w:r>
    </w:p>
    <w:p w14:paraId="074514BB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bolster county and judicial district operations.</w:t>
      </w:r>
    </w:p>
    <w:p w14:paraId="003905CE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How it works:</w:t>
      </w:r>
    </w:p>
    <w:p w14:paraId="26A06855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• Adds a $12.50 cost on each misdemeanor and felony cost bill.</w:t>
      </w:r>
    </w:p>
    <w:p w14:paraId="72CF5D11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• It can be used for staff specialized training and travel, expert witness or consultation</w:t>
      </w:r>
    </w:p>
    <w:p w14:paraId="18325BC0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fees, technology hardware and software improvements, office security measures,</w:t>
      </w:r>
    </w:p>
    <w:p w14:paraId="5EF690EA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public education materials, and non-attorney staff salaries and supplements.</w:t>
      </w:r>
    </w:p>
    <w:p w14:paraId="34225BBE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• For multiple judicial districts, the funds are allocated to the TNDAGC executive</w:t>
      </w:r>
    </w:p>
    <w:p w14:paraId="25264FBB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director’s office to provide supplemental funding for each office in that judicial</w:t>
      </w:r>
    </w:p>
    <w:p w14:paraId="49CD8C41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district.</w:t>
      </w:r>
    </w:p>
    <w:p w14:paraId="6D8A72DA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• For single judicial districts, the funds will be remitted to the county government.</w:t>
      </w:r>
    </w:p>
    <w:p w14:paraId="7364FBD8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• This bill also requires a report by the district attorney general that receives or directs</w:t>
      </w:r>
    </w:p>
    <w:p w14:paraId="041E87FB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this funding to the Conference no later than January 1. Further, the conference must</w:t>
      </w:r>
    </w:p>
    <w:p w14:paraId="22535B10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provide a comprehensive report no later than February 15 to the senate judiciary</w:t>
      </w:r>
    </w:p>
    <w:p w14:paraId="72D93519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chair, house criminal justice chair, and both finance chairs. This report will detail the</w:t>
      </w:r>
    </w:p>
    <w:p w14:paraId="11D6FA71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amount charged and collected and for what purposes the funds were used.</w:t>
      </w:r>
    </w:p>
    <w:p w14:paraId="7F528C5A" w14:textId="3F6690FE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End.</w:t>
      </w:r>
      <w:r>
        <w:rPr>
          <w:color w:val="222222"/>
        </w:rPr>
        <w:br/>
      </w:r>
      <w:r>
        <w:rPr>
          <w:color w:val="222222"/>
        </w:rPr>
        <w:br/>
        <w:t xml:space="preserve">Please let me know, what addition </w:t>
      </w:r>
      <w:r>
        <w:rPr>
          <w:color w:val="222222"/>
        </w:rPr>
        <w:t>questions</w:t>
      </w:r>
      <w:r>
        <w:rPr>
          <w:color w:val="222222"/>
        </w:rPr>
        <w:t xml:space="preserve"> you have.</w:t>
      </w:r>
    </w:p>
    <w:p w14:paraId="1CDF4797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 w:line="205" w:lineRule="atLeast"/>
        <w:rPr>
          <w:rFonts w:ascii="Arial" w:hAnsi="Arial" w:cs="Arial"/>
          <w:color w:val="222222"/>
        </w:rPr>
      </w:pPr>
      <w:r>
        <w:rPr>
          <w:color w:val="222222"/>
        </w:rPr>
        <w:t>Thank you again.</w:t>
      </w:r>
    </w:p>
    <w:p w14:paraId="3CCA3F1A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222222"/>
        </w:rPr>
        <w:t>Respectfully,</w:t>
      </w:r>
    </w:p>
    <w:p w14:paraId="35E39AB8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222222"/>
        </w:rPr>
        <w:t> </w:t>
      </w:r>
    </w:p>
    <w:p w14:paraId="77B34940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222222"/>
        </w:rPr>
        <w:t> </w:t>
      </w:r>
    </w:p>
    <w:p w14:paraId="340E163C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222222"/>
        </w:rPr>
        <w:t>Frederick H. Agee</w:t>
      </w:r>
    </w:p>
    <w:p w14:paraId="1B77CA8D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222222"/>
        </w:rPr>
        <w:t>District Attorney General</w:t>
      </w:r>
    </w:p>
    <w:p w14:paraId="5DA23307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222222"/>
        </w:rPr>
        <w:t>28th Judicial District</w:t>
      </w:r>
    </w:p>
    <w:p w14:paraId="328C690A" w14:textId="77777777" w:rsidR="004F75E4" w:rsidRDefault="004F75E4" w:rsidP="004F75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color w:val="222222"/>
        </w:rPr>
        <w:t>Crockett, Gibson, &amp; Haywood Counties</w:t>
      </w:r>
    </w:p>
    <w:p w14:paraId="670BA012" w14:textId="77777777" w:rsidR="001A10F1" w:rsidRDefault="001A10F1" w:rsidP="004F75E4">
      <w:pPr>
        <w:spacing w:after="0"/>
      </w:pPr>
    </w:p>
    <w:sectPr w:rsidR="001A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E4"/>
    <w:rsid w:val="001A10F1"/>
    <w:rsid w:val="00482ACB"/>
    <w:rsid w:val="004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92FD"/>
  <w15:chartTrackingRefBased/>
  <w15:docId w15:val="{FF317FAD-7AA1-43F0-830E-15957E1F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5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Richmond</dc:creator>
  <cp:keywords/>
  <dc:description/>
  <cp:lastModifiedBy>Jeffery Richmond</cp:lastModifiedBy>
  <cp:revision>1</cp:revision>
  <dcterms:created xsi:type="dcterms:W3CDTF">2025-11-07T23:39:00Z</dcterms:created>
  <dcterms:modified xsi:type="dcterms:W3CDTF">2025-11-07T23:41:00Z</dcterms:modified>
</cp:coreProperties>
</file>